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46AC02" w14:textId="642A20D0" w:rsidR="0089318E" w:rsidRPr="00F14190" w:rsidRDefault="000C4799" w:rsidP="00116D8B">
      <w:pPr>
        <w:spacing w:after="0" w:line="240" w:lineRule="auto"/>
        <w:rPr>
          <w:rFonts w:ascii="Bell MT" w:hAnsi="Bell MT"/>
          <w:sz w:val="56"/>
          <w:szCs w:val="56"/>
          <w:lang w:val="ru-RU"/>
        </w:rPr>
      </w:pPr>
      <w:r w:rsidRPr="00F9494B">
        <w:rPr>
          <w:rFonts w:cstheme="minorHAnsi"/>
          <w:b/>
          <w:noProof/>
          <w:sz w:val="72"/>
          <w:szCs w:val="72"/>
          <w:lang w:val="ru-RU" w:eastAsia="ru-RU"/>
        </w:rPr>
        <w:drawing>
          <wp:anchor distT="0" distB="0" distL="114300" distR="114300" simplePos="0" relativeHeight="251659264" behindDoc="0" locked="0" layoutInCell="1" allowOverlap="1" wp14:anchorId="60A69994" wp14:editId="725EB5DA">
            <wp:simplePos x="0" y="0"/>
            <wp:positionH relativeFrom="column">
              <wp:posOffset>-413385</wp:posOffset>
            </wp:positionH>
            <wp:positionV relativeFrom="paragraph">
              <wp:posOffset>-310515</wp:posOffset>
            </wp:positionV>
            <wp:extent cx="733425" cy="733425"/>
            <wp:effectExtent l="0" t="0" r="0" b="0"/>
            <wp:wrapThrough wrapText="bothSides">
              <wp:wrapPolygon edited="0">
                <wp:start x="7294" y="0"/>
                <wp:lineTo x="0" y="3366"/>
                <wp:lineTo x="0" y="14587"/>
                <wp:lineTo x="2244" y="17953"/>
                <wp:lineTo x="2244" y="18514"/>
                <wp:lineTo x="6732" y="21319"/>
                <wp:lineTo x="7855" y="21319"/>
                <wp:lineTo x="13465" y="21319"/>
                <wp:lineTo x="14587" y="21319"/>
                <wp:lineTo x="19636" y="17953"/>
                <wp:lineTo x="21319" y="14026"/>
                <wp:lineTo x="21319" y="3366"/>
                <wp:lineTo x="14026" y="0"/>
                <wp:lineTo x="729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атус.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8F5BCB" w:rsidRPr="00F9494B">
        <w:rPr>
          <w:rFonts w:cstheme="minorHAnsi"/>
          <w:b/>
          <w:sz w:val="48"/>
          <w:szCs w:val="48"/>
          <w:lang w:val="ru-RU"/>
        </w:rPr>
        <w:t xml:space="preserve">          </w:t>
      </w:r>
      <w:r w:rsidRPr="00F9494B">
        <w:rPr>
          <w:rFonts w:cstheme="minorHAnsi"/>
          <w:b/>
          <w:sz w:val="48"/>
          <w:szCs w:val="48"/>
          <w:lang w:val="ru-RU"/>
        </w:rPr>
        <w:t xml:space="preserve"> </w:t>
      </w:r>
      <w:r w:rsidR="00C11060" w:rsidRPr="00F9494B">
        <w:rPr>
          <w:rFonts w:cstheme="minorHAnsi"/>
          <w:b/>
          <w:sz w:val="48"/>
          <w:szCs w:val="48"/>
          <w:lang w:val="ru-RU"/>
        </w:rPr>
        <w:t xml:space="preserve">  </w:t>
      </w:r>
      <w:r w:rsidR="00567AD0">
        <w:rPr>
          <w:rFonts w:cstheme="minorHAnsi"/>
          <w:b/>
          <w:sz w:val="48"/>
          <w:szCs w:val="48"/>
          <w:lang w:val="ru-RU"/>
        </w:rPr>
        <w:t xml:space="preserve"> </w:t>
      </w:r>
      <w:r w:rsidR="00C11060" w:rsidRPr="00F9494B">
        <w:rPr>
          <w:rFonts w:cstheme="minorHAnsi"/>
          <w:b/>
          <w:sz w:val="48"/>
          <w:szCs w:val="48"/>
          <w:lang w:val="ru-RU"/>
        </w:rPr>
        <w:t xml:space="preserve"> </w:t>
      </w:r>
      <w:r w:rsidR="00C11060" w:rsidRPr="00F14190">
        <w:rPr>
          <w:rFonts w:cstheme="minorHAnsi"/>
          <w:b/>
          <w:color w:val="002060"/>
          <w:sz w:val="56"/>
          <w:szCs w:val="56"/>
          <w:lang w:val="ru-RU"/>
        </w:rPr>
        <w:t>«</w:t>
      </w:r>
      <w:proofErr w:type="gramStart"/>
      <w:r w:rsidR="00DB4401">
        <w:rPr>
          <w:rFonts w:ascii="Cambria" w:hAnsi="Cambria" w:cs="Cambria"/>
          <w:b/>
          <w:color w:val="002060"/>
          <w:sz w:val="56"/>
          <w:szCs w:val="56"/>
        </w:rPr>
        <w:t>S</w:t>
      </w:r>
      <w:r w:rsidR="00EF7DB1" w:rsidRPr="00F14190">
        <w:rPr>
          <w:rFonts w:ascii="Bell MT" w:hAnsi="Bell MT"/>
          <w:b/>
          <w:color w:val="002060"/>
          <w:sz w:val="56"/>
          <w:szCs w:val="56"/>
          <w:lang w:val="ru-RU"/>
        </w:rPr>
        <w:t xml:space="preserve"> </w:t>
      </w:r>
      <w:r w:rsidR="00AB0914" w:rsidRPr="00F14190">
        <w:rPr>
          <w:b/>
          <w:color w:val="002060"/>
          <w:sz w:val="56"/>
          <w:szCs w:val="56"/>
          <w:lang w:val="ru-RU"/>
        </w:rPr>
        <w:t xml:space="preserve"> </w:t>
      </w:r>
      <w:r w:rsidR="00EF7DB1" w:rsidRPr="00F14190">
        <w:rPr>
          <w:rFonts w:ascii="Cambria" w:hAnsi="Cambria" w:cs="Cambria"/>
          <w:b/>
          <w:color w:val="002060"/>
          <w:sz w:val="56"/>
          <w:szCs w:val="56"/>
          <w:lang w:val="ru-RU"/>
        </w:rPr>
        <w:t>Т</w:t>
      </w:r>
      <w:proofErr w:type="gramEnd"/>
      <w:r w:rsidR="00AB0914" w:rsidRPr="00F14190">
        <w:rPr>
          <w:rFonts w:ascii="Cambria" w:hAnsi="Cambria" w:cs="Cambria"/>
          <w:b/>
          <w:color w:val="002060"/>
          <w:sz w:val="56"/>
          <w:szCs w:val="56"/>
          <w:lang w:val="ru-RU"/>
        </w:rPr>
        <w:t xml:space="preserve"> </w:t>
      </w:r>
      <w:r w:rsidR="00EF7DB1" w:rsidRPr="00F14190">
        <w:rPr>
          <w:rFonts w:ascii="Bell MT" w:hAnsi="Bell MT"/>
          <w:b/>
          <w:color w:val="002060"/>
          <w:sz w:val="56"/>
          <w:szCs w:val="56"/>
          <w:lang w:val="ru-RU"/>
        </w:rPr>
        <w:t xml:space="preserve"> </w:t>
      </w:r>
      <w:r w:rsidR="00EF7DB1" w:rsidRPr="00F14190">
        <w:rPr>
          <w:rFonts w:ascii="Cambria" w:hAnsi="Cambria" w:cs="Cambria"/>
          <w:b/>
          <w:color w:val="002060"/>
          <w:sz w:val="56"/>
          <w:szCs w:val="56"/>
          <w:lang w:val="ru-RU"/>
        </w:rPr>
        <w:t>А</w:t>
      </w:r>
      <w:r w:rsidR="00EF7DB1" w:rsidRPr="00F14190">
        <w:rPr>
          <w:rFonts w:ascii="Bell MT" w:hAnsi="Bell MT"/>
          <w:b/>
          <w:color w:val="002060"/>
          <w:sz w:val="56"/>
          <w:szCs w:val="56"/>
          <w:lang w:val="ru-RU"/>
        </w:rPr>
        <w:t xml:space="preserve"> </w:t>
      </w:r>
      <w:r w:rsidR="00AB0914" w:rsidRPr="00F14190">
        <w:rPr>
          <w:b/>
          <w:color w:val="002060"/>
          <w:sz w:val="56"/>
          <w:szCs w:val="56"/>
          <w:lang w:val="ru-RU"/>
        </w:rPr>
        <w:t xml:space="preserve"> </w:t>
      </w:r>
      <w:r w:rsidR="00EF7DB1" w:rsidRPr="00F14190">
        <w:rPr>
          <w:rFonts w:ascii="Cambria" w:hAnsi="Cambria" w:cs="Cambria"/>
          <w:b/>
          <w:color w:val="002060"/>
          <w:sz w:val="56"/>
          <w:szCs w:val="56"/>
          <w:lang w:val="ru-RU"/>
        </w:rPr>
        <w:t>Т</w:t>
      </w:r>
      <w:r w:rsidR="00AB0914" w:rsidRPr="00F14190">
        <w:rPr>
          <w:rFonts w:ascii="Cambria" w:hAnsi="Cambria" w:cs="Cambria"/>
          <w:b/>
          <w:color w:val="002060"/>
          <w:sz w:val="56"/>
          <w:szCs w:val="56"/>
          <w:lang w:val="ru-RU"/>
        </w:rPr>
        <w:t xml:space="preserve"> </w:t>
      </w:r>
      <w:r w:rsidR="00EF7DB1" w:rsidRPr="00F14190">
        <w:rPr>
          <w:rFonts w:ascii="Bell MT" w:hAnsi="Bell MT"/>
          <w:b/>
          <w:color w:val="002060"/>
          <w:sz w:val="56"/>
          <w:szCs w:val="56"/>
          <w:lang w:val="ru-RU"/>
        </w:rPr>
        <w:t xml:space="preserve"> </w:t>
      </w:r>
      <w:r w:rsidR="00DB4401">
        <w:rPr>
          <w:rFonts w:ascii="Cambria" w:hAnsi="Cambria" w:cs="Cambria"/>
          <w:b/>
          <w:color w:val="002060"/>
          <w:sz w:val="56"/>
          <w:szCs w:val="56"/>
        </w:rPr>
        <w:t>U</w:t>
      </w:r>
      <w:r w:rsidR="00EF7DB1" w:rsidRPr="00F14190">
        <w:rPr>
          <w:rFonts w:ascii="Bell MT" w:hAnsi="Bell MT"/>
          <w:b/>
          <w:color w:val="002060"/>
          <w:sz w:val="56"/>
          <w:szCs w:val="56"/>
          <w:lang w:val="ru-RU"/>
        </w:rPr>
        <w:t xml:space="preserve"> </w:t>
      </w:r>
      <w:r w:rsidR="00AB0914" w:rsidRPr="00F14190">
        <w:rPr>
          <w:b/>
          <w:color w:val="002060"/>
          <w:sz w:val="56"/>
          <w:szCs w:val="56"/>
          <w:lang w:val="ru-RU"/>
        </w:rPr>
        <w:t xml:space="preserve"> </w:t>
      </w:r>
      <w:r w:rsidR="00DB4401">
        <w:rPr>
          <w:rFonts w:ascii="Cambria" w:hAnsi="Cambria" w:cs="Cambria"/>
          <w:b/>
          <w:color w:val="002060"/>
          <w:sz w:val="56"/>
          <w:szCs w:val="56"/>
        </w:rPr>
        <w:t>S</w:t>
      </w:r>
      <w:r w:rsidR="00C11060" w:rsidRPr="00F14190">
        <w:rPr>
          <w:b/>
          <w:color w:val="002060"/>
          <w:sz w:val="56"/>
          <w:szCs w:val="56"/>
          <w:lang w:val="ru-RU"/>
        </w:rPr>
        <w:t>»</w:t>
      </w:r>
      <w:r w:rsidR="0089318E" w:rsidRPr="00F14190">
        <w:rPr>
          <w:rFonts w:ascii="Bell MT" w:hAnsi="Bell MT"/>
          <w:color w:val="002060"/>
          <w:sz w:val="56"/>
          <w:szCs w:val="56"/>
          <w:lang w:val="ru-RU"/>
        </w:rPr>
        <w:t xml:space="preserve">                  </w:t>
      </w:r>
    </w:p>
    <w:p w14:paraId="2B41ADBB" w14:textId="4FC23B23" w:rsidR="00C171D6" w:rsidRPr="00DB4401" w:rsidRDefault="00EF7DB1" w:rsidP="00EF7DB1">
      <w:pPr>
        <w:spacing w:after="0" w:line="240" w:lineRule="auto"/>
        <w:ind w:left="-425"/>
        <w:rPr>
          <w:rFonts w:eastAsia="Malgun Gothic Semilight" w:cstheme="minorHAnsi"/>
          <w:color w:val="0E57C4" w:themeColor="background2" w:themeShade="80"/>
          <w:sz w:val="28"/>
          <w:szCs w:val="28"/>
        </w:rPr>
      </w:pPr>
      <w:r w:rsidRPr="00097AAB">
        <w:rPr>
          <w:rFonts w:eastAsia="Malgun Gothic Semilight" w:cstheme="minorHAnsi"/>
          <w:color w:val="0E57C4" w:themeColor="background2" w:themeShade="80"/>
          <w:sz w:val="28"/>
          <w:szCs w:val="28"/>
          <w:lang w:val="ru-RU"/>
        </w:rPr>
        <w:t xml:space="preserve">                  </w:t>
      </w:r>
      <w:r w:rsidR="00DB4401">
        <w:rPr>
          <w:rFonts w:eastAsia="Malgun Gothic Semilight" w:cstheme="minorHAnsi"/>
          <w:color w:val="0E57C4" w:themeColor="background2" w:themeShade="80"/>
          <w:sz w:val="28"/>
          <w:szCs w:val="28"/>
        </w:rPr>
        <w:t xml:space="preserve">            Limited Liability Company</w:t>
      </w:r>
    </w:p>
    <w:p w14:paraId="11B2B315" w14:textId="00CA4C19" w:rsidR="00D46B04" w:rsidRDefault="00C171D6" w:rsidP="00D46B04">
      <w:pPr>
        <w:tabs>
          <w:tab w:val="left" w:pos="7338"/>
        </w:tabs>
        <w:spacing w:after="0" w:line="240" w:lineRule="auto"/>
        <w:rPr>
          <w:rFonts w:ascii="Times New Roman" w:hAnsi="Times New Roman" w:cs="Times New Roman"/>
          <w:color w:val="0E57C4" w:themeColor="background2" w:themeShade="80"/>
          <w:sz w:val="20"/>
          <w:szCs w:val="20"/>
          <w:lang w:val="ru-RU"/>
        </w:rPr>
      </w:pPr>
      <w:r w:rsidRPr="000C4799">
        <w:rPr>
          <w:rFonts w:eastAsia="Malgun Gothic Semilight" w:cstheme="minorHAnsi"/>
          <w:color w:val="0E57C4" w:themeColor="background2" w:themeShade="80"/>
          <w:sz w:val="20"/>
          <w:szCs w:val="20"/>
          <w:lang w:val="ru-RU"/>
        </w:rPr>
        <w:t xml:space="preserve">             </w:t>
      </w:r>
      <w:r w:rsidR="00D46B04" w:rsidRPr="00D46B04">
        <w:rPr>
          <w:rFonts w:eastAsia="Malgun Gothic Semilight" w:cstheme="minorHAnsi"/>
          <w:color w:val="0E57C4" w:themeColor="background2" w:themeShade="80"/>
          <w:sz w:val="20"/>
          <w:szCs w:val="20"/>
          <w:lang w:val="ru-RU"/>
        </w:rPr>
        <w:t xml:space="preserve"> </w:t>
      </w:r>
      <w:r w:rsidR="00567AD0">
        <w:rPr>
          <w:rFonts w:eastAsia="Malgun Gothic Semilight" w:cstheme="minorHAnsi"/>
          <w:color w:val="0E57C4" w:themeColor="background2" w:themeShade="80"/>
          <w:sz w:val="20"/>
          <w:szCs w:val="20"/>
          <w:lang w:val="ru-RU"/>
        </w:rPr>
        <w:t xml:space="preserve">  </w:t>
      </w:r>
      <w:r w:rsidR="00D46B04" w:rsidRPr="00D46B04">
        <w:rPr>
          <w:rFonts w:eastAsia="Malgun Gothic Semilight" w:cstheme="minorHAnsi"/>
          <w:color w:val="0E57C4" w:themeColor="background2" w:themeShade="80"/>
          <w:sz w:val="20"/>
          <w:szCs w:val="20"/>
          <w:lang w:val="ru-RU"/>
        </w:rPr>
        <w:t xml:space="preserve">  </w:t>
      </w:r>
      <w:r w:rsidR="000C4799" w:rsidRPr="00D46B04">
        <w:rPr>
          <w:rFonts w:ascii="Times New Roman" w:eastAsia="Malgun Gothic Semilight" w:hAnsi="Times New Roman" w:cs="Times New Roman"/>
          <w:color w:val="0E57C4" w:themeColor="background2" w:themeShade="80"/>
          <w:sz w:val="20"/>
          <w:szCs w:val="20"/>
          <w:lang w:val="ru-RU"/>
        </w:rPr>
        <w:t xml:space="preserve">141407, </w:t>
      </w:r>
      <w:proofErr w:type="spellStart"/>
      <w:r w:rsidR="00DB4401">
        <w:rPr>
          <w:rFonts w:ascii="Times New Roman" w:eastAsia="Malgun Gothic Semilight" w:hAnsi="Times New Roman" w:cs="Times New Roman"/>
          <w:color w:val="0E57C4" w:themeColor="background2" w:themeShade="80"/>
          <w:sz w:val="20"/>
          <w:szCs w:val="20"/>
        </w:rPr>
        <w:t>Khimki</w:t>
      </w:r>
      <w:proofErr w:type="spellEnd"/>
      <w:r w:rsidR="00DB4401">
        <w:rPr>
          <w:rFonts w:ascii="Times New Roman" w:eastAsia="Malgun Gothic Semilight" w:hAnsi="Times New Roman" w:cs="Times New Roman"/>
          <w:color w:val="0E57C4" w:themeColor="background2" w:themeShade="80"/>
          <w:sz w:val="20"/>
          <w:szCs w:val="20"/>
        </w:rPr>
        <w:t>, Moscow region</w:t>
      </w:r>
      <w:r w:rsidR="000C4799" w:rsidRPr="00D46B04">
        <w:rPr>
          <w:rFonts w:ascii="Times New Roman" w:eastAsia="Malgun Gothic Semilight" w:hAnsi="Times New Roman" w:cs="Times New Roman"/>
          <w:color w:val="0E57C4" w:themeColor="background2" w:themeShade="80"/>
          <w:sz w:val="20"/>
          <w:szCs w:val="20"/>
          <w:lang w:val="ru-RU"/>
        </w:rPr>
        <w:t>,</w:t>
      </w:r>
      <w:r w:rsidR="00DB4401">
        <w:rPr>
          <w:rFonts w:ascii="Times New Roman" w:eastAsia="Malgun Gothic Semilight" w:hAnsi="Times New Roman" w:cs="Times New Roman"/>
          <w:color w:val="0E57C4" w:themeColor="background2" w:themeShade="80"/>
          <w:sz w:val="20"/>
          <w:szCs w:val="20"/>
        </w:rPr>
        <w:t xml:space="preserve">38 </w:t>
      </w:r>
      <w:proofErr w:type="spellStart"/>
      <w:r w:rsidR="00DB4401">
        <w:rPr>
          <w:rFonts w:ascii="Times New Roman" w:eastAsia="Malgun Gothic Semilight" w:hAnsi="Times New Roman" w:cs="Times New Roman"/>
          <w:color w:val="0E57C4" w:themeColor="background2" w:themeShade="80"/>
          <w:sz w:val="20"/>
          <w:szCs w:val="20"/>
        </w:rPr>
        <w:t>Papanina</w:t>
      </w:r>
      <w:proofErr w:type="spellEnd"/>
      <w:r w:rsidR="00DB4401">
        <w:rPr>
          <w:rFonts w:ascii="Times New Roman" w:eastAsia="Malgun Gothic Semilight" w:hAnsi="Times New Roman" w:cs="Times New Roman"/>
          <w:color w:val="0E57C4" w:themeColor="background2" w:themeShade="80"/>
          <w:sz w:val="20"/>
          <w:szCs w:val="20"/>
        </w:rPr>
        <w:t xml:space="preserve"> Str</w:t>
      </w:r>
      <w:r w:rsidR="00D46B04" w:rsidRPr="00D46B04">
        <w:rPr>
          <w:rFonts w:ascii="Times New Roman" w:hAnsi="Times New Roman" w:cs="Times New Roman"/>
          <w:color w:val="0E57C4" w:themeColor="background2" w:themeShade="80"/>
          <w:sz w:val="20"/>
          <w:szCs w:val="20"/>
          <w:lang w:val="ru-RU"/>
        </w:rPr>
        <w:t>,</w:t>
      </w:r>
      <w:r w:rsidR="00DB4401">
        <w:rPr>
          <w:rFonts w:ascii="Times New Roman" w:hAnsi="Times New Roman" w:cs="Times New Roman"/>
          <w:color w:val="0E57C4" w:themeColor="background2" w:themeShade="80"/>
          <w:sz w:val="20"/>
          <w:szCs w:val="20"/>
          <w:lang w:val="ru-RU"/>
        </w:rPr>
        <w:t xml:space="preserve"> </w:t>
      </w:r>
      <w:r w:rsidR="00DB4401">
        <w:rPr>
          <w:rFonts w:ascii="Times New Roman" w:hAnsi="Times New Roman" w:cs="Times New Roman"/>
          <w:color w:val="0E57C4" w:themeColor="background2" w:themeShade="80"/>
          <w:sz w:val="20"/>
          <w:szCs w:val="20"/>
        </w:rPr>
        <w:t>building</w:t>
      </w:r>
      <w:r w:rsidR="00D46B04" w:rsidRPr="00D46B04">
        <w:rPr>
          <w:rFonts w:ascii="Times New Roman" w:hAnsi="Times New Roman" w:cs="Times New Roman"/>
          <w:color w:val="0E57C4" w:themeColor="background2" w:themeShade="80"/>
          <w:sz w:val="20"/>
          <w:szCs w:val="20"/>
          <w:lang w:val="ru-RU"/>
        </w:rPr>
        <w:t xml:space="preserve"> 2, </w:t>
      </w:r>
      <w:r w:rsidR="00DB4401">
        <w:rPr>
          <w:rFonts w:ascii="Times New Roman" w:hAnsi="Times New Roman" w:cs="Times New Roman"/>
          <w:color w:val="0E57C4" w:themeColor="background2" w:themeShade="80"/>
          <w:sz w:val="20"/>
          <w:szCs w:val="20"/>
        </w:rPr>
        <w:t>office</w:t>
      </w:r>
      <w:r w:rsidR="00D46B04" w:rsidRPr="00D46B04">
        <w:rPr>
          <w:rFonts w:ascii="Times New Roman" w:hAnsi="Times New Roman" w:cs="Times New Roman"/>
          <w:color w:val="0E57C4" w:themeColor="background2" w:themeShade="80"/>
          <w:sz w:val="20"/>
          <w:szCs w:val="20"/>
          <w:lang w:val="ru-RU"/>
        </w:rPr>
        <w:t xml:space="preserve"> 6.  </w:t>
      </w:r>
    </w:p>
    <w:p w14:paraId="0F8CDF6F" w14:textId="4C2166C0" w:rsidR="00C27195" w:rsidRPr="00C11060" w:rsidRDefault="0097370B" w:rsidP="00E96A06">
      <w:pPr>
        <w:tabs>
          <w:tab w:val="left" w:pos="7154"/>
          <w:tab w:val="left" w:pos="7338"/>
        </w:tabs>
        <w:spacing w:after="0" w:line="240" w:lineRule="auto"/>
        <w:rPr>
          <w:rFonts w:ascii="Times New Roman" w:hAnsi="Times New Roman" w:cs="Times New Roman"/>
          <w:color w:val="0E57C4" w:themeColor="background2" w:themeShade="80"/>
          <w:sz w:val="20"/>
          <w:szCs w:val="20"/>
          <w:lang w:val="ru-RU"/>
        </w:rPr>
      </w:pPr>
      <w:r w:rsidRPr="00C11060">
        <w:rPr>
          <w:rFonts w:ascii="Times New Roman" w:hAnsi="Times New Roman" w:cs="Times New Roman"/>
          <w:color w:val="0E57C4" w:themeColor="background2" w:themeShade="80"/>
          <w:sz w:val="20"/>
          <w:szCs w:val="20"/>
          <w:lang w:val="ru-RU"/>
        </w:rPr>
        <w:t xml:space="preserve">                               </w:t>
      </w:r>
      <w:r w:rsidR="00E96A06">
        <w:rPr>
          <w:rFonts w:ascii="Times New Roman" w:hAnsi="Times New Roman" w:cs="Times New Roman"/>
          <w:color w:val="0E57C4" w:themeColor="background2" w:themeShade="80"/>
          <w:sz w:val="20"/>
          <w:szCs w:val="20"/>
          <w:lang w:val="ru-RU"/>
        </w:rPr>
        <w:t xml:space="preserve">           </w:t>
      </w:r>
      <w:r w:rsidR="00567AD0">
        <w:rPr>
          <w:rFonts w:ascii="Times New Roman" w:hAnsi="Times New Roman" w:cs="Times New Roman"/>
          <w:color w:val="0E57C4" w:themeColor="background2" w:themeShade="80"/>
          <w:sz w:val="20"/>
          <w:szCs w:val="20"/>
          <w:lang w:val="ru-RU"/>
        </w:rPr>
        <w:t xml:space="preserve">  </w:t>
      </w:r>
      <w:r w:rsidR="00E96A06">
        <w:rPr>
          <w:rFonts w:ascii="Times New Roman" w:hAnsi="Times New Roman" w:cs="Times New Roman"/>
          <w:color w:val="0E57C4" w:themeColor="background2" w:themeShade="80"/>
          <w:sz w:val="20"/>
          <w:szCs w:val="20"/>
          <w:lang w:val="ru-RU"/>
        </w:rPr>
        <w:t xml:space="preserve">      </w:t>
      </w:r>
      <w:r w:rsidRPr="00C11060">
        <w:rPr>
          <w:rFonts w:ascii="Times New Roman" w:hAnsi="Times New Roman" w:cs="Times New Roman"/>
          <w:color w:val="0E57C4" w:themeColor="background2" w:themeShade="80"/>
          <w:sz w:val="20"/>
          <w:szCs w:val="20"/>
          <w:lang w:val="ru-RU"/>
        </w:rPr>
        <w:t xml:space="preserve"> </w:t>
      </w:r>
      <w:r w:rsidR="00607ADB">
        <w:rPr>
          <w:rFonts w:ascii="Times New Roman" w:hAnsi="Times New Roman" w:cs="Times New Roman"/>
          <w:color w:val="0E57C4" w:themeColor="background2" w:themeShade="80"/>
          <w:sz w:val="20"/>
          <w:szCs w:val="20"/>
        </w:rPr>
        <w:t>PRSN</w:t>
      </w:r>
      <w:r w:rsidRPr="00C11060">
        <w:rPr>
          <w:rFonts w:ascii="Times New Roman" w:hAnsi="Times New Roman" w:cs="Times New Roman"/>
          <w:color w:val="0E57C4" w:themeColor="background2" w:themeShade="80"/>
          <w:sz w:val="20"/>
          <w:szCs w:val="20"/>
          <w:lang w:val="ru-RU"/>
        </w:rPr>
        <w:t>: 1165047062003</w:t>
      </w:r>
      <w:r w:rsidR="00E96A06" w:rsidRPr="00E96A06">
        <w:rPr>
          <w:rFonts w:ascii="Times New Roman" w:hAnsi="Times New Roman" w:cs="Times New Roman"/>
          <w:color w:val="0E57C4" w:themeColor="background2" w:themeShade="80"/>
          <w:sz w:val="20"/>
          <w:szCs w:val="20"/>
          <w:lang w:val="ru-RU"/>
        </w:rPr>
        <w:t xml:space="preserve">;   </w:t>
      </w:r>
      <w:r w:rsidR="00607ADB">
        <w:rPr>
          <w:rFonts w:ascii="Times New Roman" w:hAnsi="Times New Roman" w:cs="Times New Roman"/>
          <w:color w:val="0E57C4" w:themeColor="background2" w:themeShade="80"/>
          <w:sz w:val="20"/>
          <w:szCs w:val="20"/>
        </w:rPr>
        <w:t>TIN</w:t>
      </w:r>
      <w:r w:rsidRPr="00C11060">
        <w:rPr>
          <w:rFonts w:ascii="Times New Roman" w:hAnsi="Times New Roman" w:cs="Times New Roman"/>
          <w:color w:val="0E57C4" w:themeColor="background2" w:themeShade="80"/>
          <w:sz w:val="20"/>
          <w:szCs w:val="20"/>
          <w:lang w:val="ru-RU"/>
        </w:rPr>
        <w:t>: 5047191455</w:t>
      </w:r>
      <w:r w:rsidR="00E96A06">
        <w:rPr>
          <w:rFonts w:ascii="Times New Roman" w:hAnsi="Times New Roman" w:cs="Times New Roman"/>
          <w:color w:val="0E57C4" w:themeColor="background2" w:themeShade="80"/>
          <w:sz w:val="20"/>
          <w:szCs w:val="20"/>
          <w:lang w:val="ru-RU"/>
        </w:rPr>
        <w:t xml:space="preserve"> </w:t>
      </w:r>
      <w:r w:rsidR="00C27195">
        <w:rPr>
          <w:rFonts w:eastAsia="Malgun Gothic Semilight" w:cstheme="minorHAnsi"/>
          <w:color w:val="002060"/>
          <w:sz w:val="20"/>
          <w:szCs w:val="20"/>
          <w:lang w:val="ru-RU"/>
        </w:rPr>
        <w:t>_______________________________________________________________________</w:t>
      </w:r>
      <w:r w:rsidR="00CC0BE6">
        <w:rPr>
          <w:rFonts w:eastAsia="Malgun Gothic Semilight" w:cstheme="minorHAnsi"/>
          <w:color w:val="002060"/>
          <w:sz w:val="20"/>
          <w:szCs w:val="20"/>
          <w:lang w:val="ru-RU"/>
        </w:rPr>
        <w:t>__________</w:t>
      </w:r>
      <w:r w:rsidR="00E96A06">
        <w:rPr>
          <w:rFonts w:eastAsia="Malgun Gothic Semilight" w:cstheme="minorHAnsi"/>
          <w:color w:val="002060"/>
          <w:sz w:val="20"/>
          <w:szCs w:val="20"/>
          <w:lang w:val="ru-RU"/>
        </w:rPr>
        <w:t>____________</w:t>
      </w:r>
    </w:p>
    <w:p w14:paraId="2A645EA5" w14:textId="0ADCB74C" w:rsidR="0089318E" w:rsidRDefault="00CC0BE6" w:rsidP="0089318E">
      <w:pPr>
        <w:spacing w:after="0" w:line="240" w:lineRule="auto"/>
        <w:ind w:left="-425"/>
        <w:rPr>
          <w:rFonts w:ascii="Bookman Old Style" w:eastAsia="Malgun Gothic Semilight" w:hAnsi="Bookman Old Style" w:cs="Malgun Gothic Semilight"/>
          <w:color w:val="002060"/>
          <w:sz w:val="20"/>
          <w:szCs w:val="20"/>
          <w:lang w:val="ru-RU"/>
        </w:rPr>
      </w:pPr>
      <w:r>
        <w:rPr>
          <w:rFonts w:ascii="Bookman Old Style" w:eastAsia="Malgun Gothic Semilight" w:hAnsi="Bookman Old Style" w:cs="Malgun Gothic Semilight"/>
          <w:color w:val="002060"/>
          <w:sz w:val="20"/>
          <w:szCs w:val="20"/>
          <w:lang w:val="ru-RU"/>
        </w:rPr>
        <w:t xml:space="preserve">    </w:t>
      </w:r>
    </w:p>
    <w:p w14:paraId="5070971B" w14:textId="0A61BF01" w:rsidR="009F4E95" w:rsidRDefault="009F4E95" w:rsidP="0089318E">
      <w:pPr>
        <w:spacing w:after="0" w:line="240" w:lineRule="auto"/>
        <w:ind w:left="-425"/>
        <w:rPr>
          <w:rFonts w:ascii="Bookman Old Style" w:eastAsia="Malgun Gothic Semilight" w:hAnsi="Bookman Old Style" w:cs="Malgun Gothic Semilight"/>
          <w:color w:val="002060"/>
          <w:sz w:val="20"/>
          <w:szCs w:val="20"/>
          <w:lang w:val="ru-RU"/>
        </w:rPr>
      </w:pPr>
    </w:p>
    <w:p w14:paraId="62E934D2" w14:textId="279C439E" w:rsidR="009F4E95" w:rsidRDefault="009F4E95" w:rsidP="0089318E">
      <w:pPr>
        <w:spacing w:after="0" w:line="240" w:lineRule="auto"/>
        <w:ind w:left="-425"/>
        <w:rPr>
          <w:rFonts w:ascii="Bookman Old Style" w:eastAsia="Malgun Gothic Semilight" w:hAnsi="Bookman Old Style" w:cs="Malgun Gothic Semilight"/>
          <w:color w:val="002060"/>
          <w:sz w:val="20"/>
          <w:szCs w:val="20"/>
          <w:lang w:val="ru-RU"/>
        </w:rPr>
      </w:pPr>
    </w:p>
    <w:p w14:paraId="30DACA62" w14:textId="77777777" w:rsidR="009F4E95" w:rsidRPr="00C171D6" w:rsidRDefault="009F4E95" w:rsidP="0089318E">
      <w:pPr>
        <w:spacing w:after="0" w:line="240" w:lineRule="auto"/>
        <w:ind w:left="-425"/>
        <w:rPr>
          <w:rFonts w:ascii="Bookman Old Style" w:eastAsia="Malgun Gothic Semilight" w:hAnsi="Bookman Old Style" w:cs="Malgun Gothic Semilight"/>
          <w:color w:val="002060"/>
          <w:sz w:val="20"/>
          <w:szCs w:val="20"/>
          <w:lang w:val="ru-RU"/>
        </w:rPr>
      </w:pPr>
    </w:p>
    <w:p w14:paraId="3B06C77A" w14:textId="1E9718EF" w:rsidR="00436CE6" w:rsidRPr="00607ADB" w:rsidRDefault="00607ADB" w:rsidP="00436CE6">
      <w:pPr>
        <w:ind w:left="-567"/>
        <w:jc w:val="center"/>
        <w:rPr>
          <w:b/>
          <w:sz w:val="32"/>
          <w:szCs w:val="32"/>
        </w:rPr>
      </w:pPr>
      <w:r>
        <w:rPr>
          <w:b/>
          <w:sz w:val="32"/>
          <w:szCs w:val="32"/>
        </w:rPr>
        <w:t>Declaration of Anti-counterfeit Products</w:t>
      </w:r>
    </w:p>
    <w:p w14:paraId="0E1F6DE9" w14:textId="77777777" w:rsidR="00436CE6" w:rsidRPr="009F4E95" w:rsidRDefault="00436CE6" w:rsidP="00436CE6">
      <w:pPr>
        <w:ind w:left="-567"/>
        <w:jc w:val="both"/>
        <w:rPr>
          <w:b/>
          <w:sz w:val="28"/>
          <w:szCs w:val="28"/>
          <w:lang w:val="ru-RU"/>
        </w:rPr>
      </w:pPr>
    </w:p>
    <w:p w14:paraId="66C84E45" w14:textId="740176B7" w:rsidR="00436CE6" w:rsidRPr="009F4E95" w:rsidRDefault="00607ADB" w:rsidP="00436CE6">
      <w:pPr>
        <w:ind w:left="-567" w:firstLine="567"/>
        <w:jc w:val="both"/>
        <w:rPr>
          <w:sz w:val="28"/>
          <w:szCs w:val="28"/>
          <w:lang w:val="ru-RU"/>
        </w:rPr>
      </w:pPr>
      <w:r>
        <w:rPr>
          <w:rFonts w:ascii="Calibri" w:hAnsi="Calibri" w:cs="Calibri"/>
          <w:color w:val="000000"/>
          <w:sz w:val="27"/>
          <w:szCs w:val="27"/>
          <w:shd w:val="clear" w:color="auto" w:fill="FFFFFF"/>
        </w:rPr>
        <w:t>The corporate policy of STATUS LLC is based on the sale of tobacco and tobacco-related materials only to customers who intend to use the materials in the l</w:t>
      </w:r>
      <w:r>
        <w:rPr>
          <w:rFonts w:ascii="Calibri" w:hAnsi="Calibri" w:cs="Calibri"/>
          <w:color w:val="000000"/>
          <w:sz w:val="27"/>
          <w:szCs w:val="27"/>
          <w:shd w:val="clear" w:color="auto" w:fill="FFFFFF"/>
        </w:rPr>
        <w:t>icit</w:t>
      </w:r>
      <w:r>
        <w:rPr>
          <w:rFonts w:ascii="Calibri" w:hAnsi="Calibri" w:cs="Calibri"/>
          <w:color w:val="000000"/>
          <w:sz w:val="27"/>
          <w:szCs w:val="27"/>
          <w:shd w:val="clear" w:color="auto" w:fill="FFFFFF"/>
        </w:rPr>
        <w:t xml:space="preserve"> production of cigarettes or other related products.</w:t>
      </w:r>
      <w:r w:rsidRPr="009F4E95">
        <w:rPr>
          <w:sz w:val="28"/>
          <w:szCs w:val="28"/>
          <w:lang w:val="ru-RU"/>
        </w:rPr>
        <w:t xml:space="preserve"> </w:t>
      </w:r>
      <w:r>
        <w:rPr>
          <w:rFonts w:ascii="Calibri" w:hAnsi="Calibri" w:cs="Calibri"/>
          <w:color w:val="000000"/>
          <w:sz w:val="27"/>
          <w:szCs w:val="27"/>
          <w:shd w:val="clear" w:color="auto" w:fill="FFFFFF"/>
        </w:rPr>
        <w:t>Resale is permitted only to individuals or companies who intend to use the product in the licit production of cigarettes or other products.</w:t>
      </w:r>
    </w:p>
    <w:p w14:paraId="2D6FA9F9" w14:textId="041CC0C5" w:rsidR="00436CE6" w:rsidRPr="009F4E95" w:rsidRDefault="00607ADB" w:rsidP="00436CE6">
      <w:pPr>
        <w:ind w:left="-567" w:firstLine="567"/>
        <w:jc w:val="both"/>
        <w:rPr>
          <w:sz w:val="28"/>
          <w:szCs w:val="28"/>
          <w:lang w:val="ru-RU"/>
        </w:rPr>
      </w:pPr>
      <w:r>
        <w:rPr>
          <w:rFonts w:ascii="Calibri" w:hAnsi="Calibri" w:cs="Calibri"/>
          <w:color w:val="000000"/>
          <w:sz w:val="27"/>
          <w:szCs w:val="27"/>
          <w:shd w:val="clear" w:color="auto" w:fill="FFFFFF"/>
        </w:rPr>
        <w:t>Selling products to customers or third parties, while being well aware that the materials will be used in the illicit manufacture, selling of counterfeit cigarettes or other tobacco products, is prohibited.</w:t>
      </w:r>
      <w:r w:rsidRPr="009F4E95">
        <w:rPr>
          <w:sz w:val="28"/>
          <w:szCs w:val="28"/>
          <w:lang w:val="ru-RU"/>
        </w:rPr>
        <w:t xml:space="preserve"> </w:t>
      </w:r>
    </w:p>
    <w:p w14:paraId="2FD8876E" w14:textId="3A3A0BA0" w:rsidR="00436CE6" w:rsidRPr="009F4E95" w:rsidRDefault="00607ADB" w:rsidP="00436CE6">
      <w:pPr>
        <w:ind w:left="-567" w:firstLine="567"/>
        <w:jc w:val="both"/>
        <w:rPr>
          <w:sz w:val="28"/>
          <w:szCs w:val="28"/>
          <w:lang w:val="ru-RU"/>
        </w:rPr>
      </w:pPr>
      <w:r>
        <w:rPr>
          <w:rFonts w:ascii="Calibri" w:hAnsi="Calibri" w:cs="Calibri"/>
          <w:color w:val="000000"/>
          <w:sz w:val="27"/>
          <w:szCs w:val="27"/>
          <w:shd w:val="clear" w:color="auto" w:fill="FFFFFF"/>
        </w:rPr>
        <w:t>By accepting this document, the client agrees not to use products for the illegal production of tobacco products</w:t>
      </w:r>
      <w:r w:rsidR="00436CE6" w:rsidRPr="009F4E95">
        <w:rPr>
          <w:sz w:val="28"/>
          <w:szCs w:val="28"/>
          <w:lang w:val="ru-RU"/>
        </w:rPr>
        <w:t xml:space="preserve">. </w:t>
      </w:r>
    </w:p>
    <w:p w14:paraId="65D96939" w14:textId="33A8FFB4" w:rsidR="0089318E" w:rsidRPr="00607ADB" w:rsidRDefault="00607ADB" w:rsidP="00607ADB">
      <w:pPr>
        <w:ind w:left="-567" w:firstLine="567"/>
        <w:jc w:val="both"/>
        <w:rPr>
          <w:sz w:val="28"/>
          <w:szCs w:val="28"/>
          <w:lang w:val="ru-RU"/>
        </w:rPr>
      </w:pPr>
      <w:r>
        <w:rPr>
          <w:rFonts w:ascii="Calibri" w:hAnsi="Calibri" w:cs="Calibri"/>
          <w:color w:val="000000"/>
          <w:sz w:val="27"/>
          <w:szCs w:val="27"/>
          <w:shd w:val="clear" w:color="auto" w:fill="FFFFFF"/>
        </w:rPr>
        <w:t>After receiving the goods purchased from STATUS LLC, all responsibility for their use in the future completely and unconditionally passes to the buyer.</w:t>
      </w:r>
      <w:r w:rsidRPr="009F4E95">
        <w:rPr>
          <w:sz w:val="28"/>
          <w:szCs w:val="28"/>
          <w:lang w:val="ru-RU"/>
        </w:rPr>
        <w:t xml:space="preserve"> </w:t>
      </w:r>
      <w:bookmarkStart w:id="0" w:name="_GoBack"/>
      <w:bookmarkEnd w:id="0"/>
    </w:p>
    <w:sectPr w:rsidR="0089318E" w:rsidRPr="00607ADB" w:rsidSect="007F0A4F">
      <w:pgSz w:w="11907" w:h="16840" w:code="9"/>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02"/>
    <w:rsid w:val="00097AAB"/>
    <w:rsid w:val="00097E92"/>
    <w:rsid w:val="000C4799"/>
    <w:rsid w:val="00116D8B"/>
    <w:rsid w:val="0012636D"/>
    <w:rsid w:val="00134017"/>
    <w:rsid w:val="00204772"/>
    <w:rsid w:val="003E6A46"/>
    <w:rsid w:val="003F7353"/>
    <w:rsid w:val="00436CE6"/>
    <w:rsid w:val="00567AD0"/>
    <w:rsid w:val="005C79D3"/>
    <w:rsid w:val="00607ADB"/>
    <w:rsid w:val="007459E4"/>
    <w:rsid w:val="007B269B"/>
    <w:rsid w:val="007B43CF"/>
    <w:rsid w:val="007D1D43"/>
    <w:rsid w:val="007E5173"/>
    <w:rsid w:val="007F0A4F"/>
    <w:rsid w:val="00802E65"/>
    <w:rsid w:val="00807BB7"/>
    <w:rsid w:val="0089318E"/>
    <w:rsid w:val="008E432F"/>
    <w:rsid w:val="008F5BCB"/>
    <w:rsid w:val="0097370B"/>
    <w:rsid w:val="009F4E95"/>
    <w:rsid w:val="00A436CA"/>
    <w:rsid w:val="00A809B2"/>
    <w:rsid w:val="00AB0914"/>
    <w:rsid w:val="00B122A2"/>
    <w:rsid w:val="00B355F6"/>
    <w:rsid w:val="00B44ACC"/>
    <w:rsid w:val="00C11060"/>
    <w:rsid w:val="00C171D6"/>
    <w:rsid w:val="00C27195"/>
    <w:rsid w:val="00CC0BE6"/>
    <w:rsid w:val="00D120F6"/>
    <w:rsid w:val="00D46649"/>
    <w:rsid w:val="00D46B04"/>
    <w:rsid w:val="00D90DC0"/>
    <w:rsid w:val="00DB4401"/>
    <w:rsid w:val="00E61B2B"/>
    <w:rsid w:val="00E96A06"/>
    <w:rsid w:val="00EF7DB1"/>
    <w:rsid w:val="00F02702"/>
    <w:rsid w:val="00F14190"/>
    <w:rsid w:val="00F4736B"/>
    <w:rsid w:val="00F9494B"/>
    <w:rsid w:val="00F97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56CE"/>
  <w15:docId w15:val="{270BE498-D601-46F2-B7DF-5AF8108E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242852"/>
      </a:dk2>
      <a:lt2>
        <a:srgbClr val="ACCBF9"/>
      </a:lt2>
      <a:accent1>
        <a:srgbClr val="596984"/>
      </a:accent1>
      <a:accent2>
        <a:srgbClr val="629DD1"/>
      </a:accent2>
      <a:accent3>
        <a:srgbClr val="297FD5"/>
      </a:accent3>
      <a:accent4>
        <a:srgbClr val="3477B2"/>
      </a:accent4>
      <a:accent5>
        <a:srgbClr val="5AA2AE"/>
      </a:accent5>
      <a:accent6>
        <a:srgbClr val="9D90A0"/>
      </a:accent6>
      <a:hlink>
        <a:srgbClr val="9454C3"/>
      </a:hlink>
      <a:folHlink>
        <a:srgbClr val="3EBBF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Дамбегов</dc:creator>
  <cp:lastModifiedBy>Дарія Беззадіна</cp:lastModifiedBy>
  <cp:revision>28</cp:revision>
  <cp:lastPrinted>2019-07-10T13:34:00Z</cp:lastPrinted>
  <dcterms:created xsi:type="dcterms:W3CDTF">2017-11-21T18:06:00Z</dcterms:created>
  <dcterms:modified xsi:type="dcterms:W3CDTF">2019-11-20T21:04:00Z</dcterms:modified>
</cp:coreProperties>
</file>